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C5813" w14:textId="2DD0C25E" w:rsidR="00FE088E" w:rsidRDefault="00C13C97">
      <w:pPr>
        <w:pStyle w:val="Heading1"/>
      </w:pPr>
      <w:r>
        <w:rPr>
          <w:rFonts w:ascii="Calibri" w:hAnsi="Calibri" w:cs="Calibri"/>
          <w:noProof/>
          <w:color w:val="000000"/>
          <w:bdr w:val="none" w:sz="0" w:space="0" w:color="auto" w:frame="1"/>
        </w:rPr>
        <w:drawing>
          <wp:anchor distT="0" distB="0" distL="114300" distR="114300" simplePos="0" relativeHeight="251658240" behindDoc="0" locked="0" layoutInCell="1" allowOverlap="1" wp14:anchorId="6DE2986F" wp14:editId="1B2C0C97">
            <wp:simplePos x="0" y="0"/>
            <wp:positionH relativeFrom="margin">
              <wp:align>center</wp:align>
            </wp:positionH>
            <wp:positionV relativeFrom="paragraph">
              <wp:posOffset>525145</wp:posOffset>
            </wp:positionV>
            <wp:extent cx="2819400" cy="1600200"/>
            <wp:effectExtent l="0" t="0" r="0" b="0"/>
            <wp:wrapSquare wrapText="bothSides"/>
            <wp:docPr id="2042160908" name="Picture 1" descr="A butterfly with a graduation c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160908" name="Picture 1" descr="A butterfly with a graduation cap&#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18386" b="25112"/>
                    <a:stretch/>
                  </pic:blipFill>
                  <pic:spPr bwMode="auto">
                    <a:xfrm>
                      <a:off x="0" y="0"/>
                      <a:ext cx="2819400" cy="16002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br w:type="textWrapping" w:clear="all"/>
      </w:r>
    </w:p>
    <w:p w14:paraId="6C860AB5" w14:textId="77777777" w:rsidR="00C13C97" w:rsidRDefault="00C13C97">
      <w:pPr>
        <w:pStyle w:val="Heading1"/>
      </w:pPr>
    </w:p>
    <w:p w14:paraId="04655838" w14:textId="77777777" w:rsidR="00C13C97" w:rsidRDefault="00C13C97">
      <w:pPr>
        <w:pStyle w:val="Heading1"/>
      </w:pPr>
    </w:p>
    <w:p w14:paraId="30F52A44" w14:textId="77777777" w:rsidR="00C13C97" w:rsidRPr="00C13C97" w:rsidRDefault="00C13C97" w:rsidP="00C13C97"/>
    <w:p w14:paraId="1E982C2F" w14:textId="03EBB402" w:rsidR="002C420F" w:rsidRPr="00C13C97" w:rsidRDefault="00F4089A" w:rsidP="00C13C97">
      <w:pPr>
        <w:pStyle w:val="Heading1"/>
        <w:jc w:val="center"/>
        <w:rPr>
          <w:rFonts w:cstheme="majorHAnsi"/>
          <w:color w:val="000000" w:themeColor="text1"/>
          <w:sz w:val="22"/>
          <w:szCs w:val="22"/>
        </w:rPr>
      </w:pPr>
      <w:r w:rsidRPr="00C13C97">
        <w:rPr>
          <w:rFonts w:cstheme="majorHAnsi"/>
          <w:color w:val="000000" w:themeColor="text1"/>
          <w:sz w:val="22"/>
          <w:szCs w:val="22"/>
        </w:rPr>
        <w:t>Accessibility Statement</w:t>
      </w:r>
      <w:r w:rsidRPr="00C13C97">
        <w:rPr>
          <w:rFonts w:cstheme="majorHAnsi"/>
          <w:color w:val="000000" w:themeColor="text1"/>
          <w:sz w:val="22"/>
          <w:szCs w:val="22"/>
        </w:rPr>
        <w:br/>
        <w:t xml:space="preserve">Intersectionality Women’s </w:t>
      </w:r>
      <w:proofErr w:type="spellStart"/>
      <w:r w:rsidRPr="00C13C97">
        <w:rPr>
          <w:rFonts w:cstheme="majorHAnsi"/>
          <w:color w:val="000000" w:themeColor="text1"/>
          <w:sz w:val="22"/>
          <w:szCs w:val="22"/>
        </w:rPr>
        <w:t>Programmes</w:t>
      </w:r>
      <w:proofErr w:type="spellEnd"/>
      <w:r w:rsidRPr="00C13C97">
        <w:rPr>
          <w:rFonts w:cstheme="majorHAnsi"/>
          <w:color w:val="000000" w:themeColor="text1"/>
          <w:sz w:val="22"/>
          <w:szCs w:val="22"/>
        </w:rPr>
        <w:t xml:space="preserve"> CIC (IWP)</w:t>
      </w:r>
    </w:p>
    <w:p w14:paraId="4EE3CC75" w14:textId="77777777" w:rsidR="002C420F" w:rsidRPr="00C13C97" w:rsidRDefault="00F4089A">
      <w:pPr>
        <w:rPr>
          <w:rFonts w:asciiTheme="majorHAnsi" w:hAnsiTheme="majorHAnsi" w:cstheme="majorHAnsi"/>
          <w:color w:val="000000" w:themeColor="text1"/>
        </w:rPr>
      </w:pPr>
      <w:r w:rsidRPr="00C13C97">
        <w:rPr>
          <w:rFonts w:asciiTheme="majorHAnsi" w:hAnsiTheme="majorHAnsi" w:cstheme="majorHAnsi"/>
          <w:color w:val="000000" w:themeColor="text1"/>
        </w:rPr>
        <w:br/>
        <w:t xml:space="preserve">Intersectionality Women’s Programmes CIC is committed to ensuring that our website, services, and learning environments are accessible and inclusive for all women and girls who </w:t>
      </w:r>
      <w:r w:rsidRPr="00C13C97">
        <w:rPr>
          <w:rFonts w:asciiTheme="majorHAnsi" w:hAnsiTheme="majorHAnsi" w:cstheme="majorHAnsi"/>
          <w:color w:val="000000" w:themeColor="text1"/>
        </w:rPr>
        <w:t>engage with our work.</w:t>
      </w:r>
    </w:p>
    <w:p w14:paraId="142785FD" w14:textId="77777777" w:rsidR="002C420F" w:rsidRPr="00C13C97" w:rsidRDefault="00F4089A">
      <w:pPr>
        <w:rPr>
          <w:rFonts w:asciiTheme="majorHAnsi" w:hAnsiTheme="majorHAnsi" w:cstheme="majorHAnsi"/>
          <w:color w:val="000000" w:themeColor="text1"/>
        </w:rPr>
      </w:pPr>
      <w:r w:rsidRPr="00C13C97">
        <w:rPr>
          <w:rFonts w:asciiTheme="majorHAnsi" w:hAnsiTheme="majorHAnsi" w:cstheme="majorHAnsi"/>
          <w:color w:val="000000" w:themeColor="text1"/>
        </w:rPr>
        <w:t>We recognise that many of the individuals we support may experience barriers related to disability, neurodiversity, mental health, trauma, language, digital access, or previous exclusion from education or services. Accessibility is therefore central to our values and delivery.</w:t>
      </w:r>
    </w:p>
    <w:p w14:paraId="4B4BFA73" w14:textId="77777777" w:rsidR="002C420F" w:rsidRPr="00C13C97" w:rsidRDefault="00F4089A">
      <w:pPr>
        <w:rPr>
          <w:rFonts w:asciiTheme="majorHAnsi" w:hAnsiTheme="majorHAnsi" w:cstheme="majorHAnsi"/>
          <w:color w:val="000000" w:themeColor="text1"/>
        </w:rPr>
      </w:pPr>
      <w:r w:rsidRPr="00C13C97">
        <w:rPr>
          <w:rFonts w:asciiTheme="majorHAnsi" w:hAnsiTheme="majorHAnsi" w:cstheme="majorHAnsi"/>
          <w:color w:val="000000" w:themeColor="text1"/>
        </w:rPr>
        <w:t>Our Commitment to Accessibility</w:t>
      </w:r>
    </w:p>
    <w:p w14:paraId="3CD3E8D1" w14:textId="77777777" w:rsidR="002C420F" w:rsidRPr="00C13C97" w:rsidRDefault="00F4089A">
      <w:pPr>
        <w:rPr>
          <w:rFonts w:asciiTheme="majorHAnsi" w:hAnsiTheme="majorHAnsi" w:cstheme="majorHAnsi"/>
          <w:color w:val="000000" w:themeColor="text1"/>
        </w:rPr>
      </w:pPr>
      <w:r w:rsidRPr="00C13C97">
        <w:rPr>
          <w:rFonts w:asciiTheme="majorHAnsi" w:hAnsiTheme="majorHAnsi" w:cstheme="majorHAnsi"/>
          <w:color w:val="000000" w:themeColor="text1"/>
        </w:rPr>
        <w:t>We aim to make our website and digital content as accessible as possible by:</w:t>
      </w:r>
      <w:r w:rsidRPr="00C13C97">
        <w:rPr>
          <w:rFonts w:asciiTheme="majorHAnsi" w:hAnsiTheme="majorHAnsi" w:cstheme="majorHAnsi"/>
          <w:color w:val="000000" w:themeColor="text1"/>
        </w:rPr>
        <w:br/>
        <w:t>• Using clear, plain language wherever possible</w:t>
      </w:r>
      <w:r w:rsidRPr="00C13C97">
        <w:rPr>
          <w:rFonts w:asciiTheme="majorHAnsi" w:hAnsiTheme="majorHAnsi" w:cstheme="majorHAnsi"/>
          <w:color w:val="000000" w:themeColor="text1"/>
        </w:rPr>
        <w:br/>
        <w:t>• Structuring content for readability and ease of navigation</w:t>
      </w:r>
      <w:r w:rsidRPr="00C13C97">
        <w:rPr>
          <w:rFonts w:asciiTheme="majorHAnsi" w:hAnsiTheme="majorHAnsi" w:cstheme="majorHAnsi"/>
          <w:color w:val="000000" w:themeColor="text1"/>
        </w:rPr>
        <w:br/>
        <w:t>• Ensuring text contrast, font sizes, and layouts support accessibility</w:t>
      </w:r>
      <w:r w:rsidRPr="00C13C97">
        <w:rPr>
          <w:rFonts w:asciiTheme="majorHAnsi" w:hAnsiTheme="majorHAnsi" w:cstheme="majorHAnsi"/>
          <w:color w:val="000000" w:themeColor="text1"/>
        </w:rPr>
        <w:br/>
        <w:t>• Making reasonable adjustments where barriers are identified</w:t>
      </w:r>
    </w:p>
    <w:p w14:paraId="28976801" w14:textId="77777777" w:rsidR="002C420F" w:rsidRPr="00C13C97" w:rsidRDefault="00F4089A">
      <w:pPr>
        <w:rPr>
          <w:rFonts w:asciiTheme="majorHAnsi" w:hAnsiTheme="majorHAnsi" w:cstheme="majorHAnsi"/>
          <w:color w:val="000000" w:themeColor="text1"/>
        </w:rPr>
      </w:pPr>
      <w:r w:rsidRPr="00C13C97">
        <w:rPr>
          <w:rFonts w:asciiTheme="majorHAnsi" w:hAnsiTheme="majorHAnsi" w:cstheme="majorHAnsi"/>
          <w:color w:val="000000" w:themeColor="text1"/>
        </w:rPr>
        <w:t>We strive to align our digital accessibility with recognised good practice and the principles of the Equality Act 2010, particularly in relation to reasonable adjustments.</w:t>
      </w:r>
    </w:p>
    <w:p w14:paraId="537DAC2E" w14:textId="77777777" w:rsidR="002C420F" w:rsidRPr="00C13C97" w:rsidRDefault="00F4089A">
      <w:pPr>
        <w:rPr>
          <w:rFonts w:asciiTheme="majorHAnsi" w:hAnsiTheme="majorHAnsi" w:cstheme="majorHAnsi"/>
          <w:color w:val="000000" w:themeColor="text1"/>
        </w:rPr>
      </w:pPr>
      <w:r w:rsidRPr="00C13C97">
        <w:rPr>
          <w:rFonts w:asciiTheme="majorHAnsi" w:hAnsiTheme="majorHAnsi" w:cstheme="majorHAnsi"/>
          <w:color w:val="000000" w:themeColor="text1"/>
        </w:rPr>
        <w:t>Access Needs and Reasonable Adjustments</w:t>
      </w:r>
    </w:p>
    <w:p w14:paraId="174334EF" w14:textId="77777777" w:rsidR="002C420F" w:rsidRPr="00C13C97" w:rsidRDefault="00F4089A">
      <w:pPr>
        <w:rPr>
          <w:rFonts w:asciiTheme="majorHAnsi" w:hAnsiTheme="majorHAnsi" w:cstheme="majorHAnsi"/>
          <w:color w:val="000000" w:themeColor="text1"/>
        </w:rPr>
      </w:pPr>
      <w:r w:rsidRPr="00C13C97">
        <w:rPr>
          <w:rFonts w:asciiTheme="majorHAnsi" w:hAnsiTheme="majorHAnsi" w:cstheme="majorHAnsi"/>
          <w:color w:val="000000" w:themeColor="text1"/>
        </w:rPr>
        <w:t>If you experience any difficulty accessing information on our website, or if you require content in an alternative format, we encourage you to contact us.</w:t>
      </w:r>
    </w:p>
    <w:p w14:paraId="08526E99" w14:textId="77777777" w:rsidR="002C420F" w:rsidRPr="00C13C97" w:rsidRDefault="00F4089A">
      <w:pPr>
        <w:rPr>
          <w:rFonts w:asciiTheme="majorHAnsi" w:hAnsiTheme="majorHAnsi" w:cstheme="majorHAnsi"/>
          <w:color w:val="000000" w:themeColor="text1"/>
        </w:rPr>
      </w:pPr>
      <w:r w:rsidRPr="00C13C97">
        <w:rPr>
          <w:rFonts w:asciiTheme="majorHAnsi" w:hAnsiTheme="majorHAnsi" w:cstheme="majorHAnsi"/>
          <w:color w:val="000000" w:themeColor="text1"/>
        </w:rPr>
        <w:t>We can consider adjustments such as:</w:t>
      </w:r>
      <w:r w:rsidRPr="00C13C97">
        <w:rPr>
          <w:rFonts w:asciiTheme="majorHAnsi" w:hAnsiTheme="majorHAnsi" w:cstheme="majorHAnsi"/>
          <w:color w:val="000000" w:themeColor="text1"/>
        </w:rPr>
        <w:br/>
        <w:t>• Alternative formats of information</w:t>
      </w:r>
      <w:r w:rsidRPr="00C13C97">
        <w:rPr>
          <w:rFonts w:asciiTheme="majorHAnsi" w:hAnsiTheme="majorHAnsi" w:cstheme="majorHAnsi"/>
          <w:color w:val="000000" w:themeColor="text1"/>
        </w:rPr>
        <w:br/>
        <w:t>• Support with understanding content</w:t>
      </w:r>
      <w:r w:rsidRPr="00C13C97">
        <w:rPr>
          <w:rFonts w:asciiTheme="majorHAnsi" w:hAnsiTheme="majorHAnsi" w:cstheme="majorHAnsi"/>
          <w:color w:val="000000" w:themeColor="text1"/>
        </w:rPr>
        <w:br/>
        <w:t>• Adjustments to communication methods</w:t>
      </w:r>
      <w:r w:rsidRPr="00C13C97">
        <w:rPr>
          <w:rFonts w:asciiTheme="majorHAnsi" w:hAnsiTheme="majorHAnsi" w:cstheme="majorHAnsi"/>
          <w:color w:val="000000" w:themeColor="text1"/>
        </w:rPr>
        <w:br/>
        <w:t>• Additional support when engaging with our programmes or services</w:t>
      </w:r>
    </w:p>
    <w:p w14:paraId="5D6998C8" w14:textId="77777777" w:rsidR="002C420F" w:rsidRPr="00C13C97" w:rsidRDefault="00F4089A">
      <w:pPr>
        <w:rPr>
          <w:rFonts w:asciiTheme="majorHAnsi" w:hAnsiTheme="majorHAnsi" w:cstheme="majorHAnsi"/>
          <w:color w:val="000000" w:themeColor="text1"/>
        </w:rPr>
      </w:pPr>
      <w:r w:rsidRPr="00C13C97">
        <w:rPr>
          <w:rFonts w:asciiTheme="majorHAnsi" w:hAnsiTheme="majorHAnsi" w:cstheme="majorHAnsi"/>
          <w:color w:val="000000" w:themeColor="text1"/>
        </w:rPr>
        <w:lastRenderedPageBreak/>
        <w:t>Requests will be handled sensitively, respectfully, and without judgement.</w:t>
      </w:r>
    </w:p>
    <w:p w14:paraId="37170926" w14:textId="77777777" w:rsidR="002C420F" w:rsidRPr="00C13C97" w:rsidRDefault="00F4089A">
      <w:pPr>
        <w:rPr>
          <w:rFonts w:asciiTheme="majorHAnsi" w:hAnsiTheme="majorHAnsi" w:cstheme="majorHAnsi"/>
          <w:color w:val="000000" w:themeColor="text1"/>
        </w:rPr>
      </w:pPr>
      <w:r w:rsidRPr="00C13C97">
        <w:rPr>
          <w:rFonts w:asciiTheme="majorHAnsi" w:hAnsiTheme="majorHAnsi" w:cstheme="majorHAnsi"/>
          <w:color w:val="000000" w:themeColor="text1"/>
        </w:rPr>
        <w:t>Trauma-Informed Approach</w:t>
      </w:r>
    </w:p>
    <w:p w14:paraId="09C6BE24" w14:textId="77777777" w:rsidR="002C420F" w:rsidRPr="00C13C97" w:rsidRDefault="00F4089A">
      <w:pPr>
        <w:rPr>
          <w:rFonts w:asciiTheme="majorHAnsi" w:hAnsiTheme="majorHAnsi" w:cstheme="majorHAnsi"/>
          <w:color w:val="000000" w:themeColor="text1"/>
        </w:rPr>
      </w:pPr>
      <w:r w:rsidRPr="00C13C97">
        <w:rPr>
          <w:rFonts w:asciiTheme="majorHAnsi" w:hAnsiTheme="majorHAnsi" w:cstheme="majorHAnsi"/>
          <w:color w:val="000000" w:themeColor="text1"/>
        </w:rPr>
        <w:t xml:space="preserve">As a survivor-led organisation, we understand that accessibility is not only about disability, but also about emotional safety, dignity, and choice. We do not require individuals to disclose personal information </w:t>
      </w:r>
      <w:proofErr w:type="gramStart"/>
      <w:r w:rsidRPr="00C13C97">
        <w:rPr>
          <w:rFonts w:asciiTheme="majorHAnsi" w:hAnsiTheme="majorHAnsi" w:cstheme="majorHAnsi"/>
          <w:color w:val="000000" w:themeColor="text1"/>
        </w:rPr>
        <w:t>in order to</w:t>
      </w:r>
      <w:proofErr w:type="gramEnd"/>
      <w:r w:rsidRPr="00C13C97">
        <w:rPr>
          <w:rFonts w:asciiTheme="majorHAnsi" w:hAnsiTheme="majorHAnsi" w:cstheme="majorHAnsi"/>
          <w:color w:val="000000" w:themeColor="text1"/>
        </w:rPr>
        <w:t xml:space="preserve"> request support, and we aim to respond in a way that prioritises wellbeing and trust.</w:t>
      </w:r>
    </w:p>
    <w:p w14:paraId="28791B8F" w14:textId="77777777" w:rsidR="002C420F" w:rsidRPr="00C13C97" w:rsidRDefault="00F4089A">
      <w:pPr>
        <w:rPr>
          <w:rFonts w:asciiTheme="majorHAnsi" w:hAnsiTheme="majorHAnsi" w:cstheme="majorHAnsi"/>
          <w:color w:val="000000" w:themeColor="text1"/>
        </w:rPr>
      </w:pPr>
      <w:r w:rsidRPr="00C13C97">
        <w:rPr>
          <w:rFonts w:asciiTheme="majorHAnsi" w:hAnsiTheme="majorHAnsi" w:cstheme="majorHAnsi"/>
          <w:color w:val="000000" w:themeColor="text1"/>
        </w:rPr>
        <w:t>Ongoing Improvement</w:t>
      </w:r>
    </w:p>
    <w:p w14:paraId="4923046E" w14:textId="77777777" w:rsidR="002C420F" w:rsidRPr="00C13C97" w:rsidRDefault="00F4089A">
      <w:pPr>
        <w:rPr>
          <w:rFonts w:asciiTheme="majorHAnsi" w:hAnsiTheme="majorHAnsi" w:cstheme="majorHAnsi"/>
          <w:color w:val="000000" w:themeColor="text1"/>
        </w:rPr>
      </w:pPr>
      <w:r w:rsidRPr="00C13C97">
        <w:rPr>
          <w:rFonts w:asciiTheme="majorHAnsi" w:hAnsiTheme="majorHAnsi" w:cstheme="majorHAnsi"/>
          <w:color w:val="000000" w:themeColor="text1"/>
        </w:rPr>
        <w:t>We recognise that accessibility is an ongoing process. We are committed to reviewing and improving our website and services over time, informed by user feedback, lived experience, and evolving best practice.</w:t>
      </w:r>
    </w:p>
    <w:p w14:paraId="5F6DD4BD" w14:textId="77777777" w:rsidR="002C420F" w:rsidRPr="00C13C97" w:rsidRDefault="00F4089A">
      <w:pPr>
        <w:rPr>
          <w:rFonts w:asciiTheme="majorHAnsi" w:hAnsiTheme="majorHAnsi" w:cstheme="majorHAnsi"/>
          <w:color w:val="000000" w:themeColor="text1"/>
        </w:rPr>
      </w:pPr>
      <w:r w:rsidRPr="00C13C97">
        <w:rPr>
          <w:rFonts w:asciiTheme="majorHAnsi" w:hAnsiTheme="majorHAnsi" w:cstheme="majorHAnsi"/>
          <w:color w:val="000000" w:themeColor="text1"/>
        </w:rPr>
        <w:t>Contact Us</w:t>
      </w:r>
    </w:p>
    <w:p w14:paraId="13873C44" w14:textId="77777777" w:rsidR="002C420F" w:rsidRPr="00C13C97" w:rsidRDefault="00F4089A">
      <w:pPr>
        <w:rPr>
          <w:rFonts w:asciiTheme="majorHAnsi" w:hAnsiTheme="majorHAnsi" w:cstheme="majorHAnsi"/>
          <w:color w:val="000000" w:themeColor="text1"/>
        </w:rPr>
      </w:pPr>
      <w:r w:rsidRPr="00C13C97">
        <w:rPr>
          <w:rFonts w:asciiTheme="majorHAnsi" w:hAnsiTheme="majorHAnsi" w:cstheme="majorHAnsi"/>
          <w:color w:val="000000" w:themeColor="text1"/>
        </w:rPr>
        <w:t>If you have accessibility needs, encounter barriers, or wish to provide feedback, please contact us:</w:t>
      </w:r>
    </w:p>
    <w:p w14:paraId="461FBBDE" w14:textId="77777777" w:rsidR="002C420F" w:rsidRPr="00C13C97" w:rsidRDefault="00F4089A">
      <w:pPr>
        <w:rPr>
          <w:rFonts w:asciiTheme="majorHAnsi" w:hAnsiTheme="majorHAnsi" w:cstheme="majorHAnsi"/>
          <w:color w:val="000000" w:themeColor="text1"/>
        </w:rPr>
      </w:pPr>
      <w:r w:rsidRPr="00C13C97">
        <w:rPr>
          <w:rFonts w:asciiTheme="majorHAnsi" w:hAnsiTheme="majorHAnsi" w:cstheme="majorHAnsi"/>
          <w:color w:val="000000" w:themeColor="text1"/>
        </w:rPr>
        <w:t>Email: info@intersectionalitywomensprogrammes.com</w:t>
      </w:r>
    </w:p>
    <w:p w14:paraId="37D12189" w14:textId="77777777" w:rsidR="00C13C97" w:rsidRPr="00C13C97" w:rsidRDefault="00F4089A" w:rsidP="00C13C97">
      <w:pPr>
        <w:spacing w:after="0" w:line="360" w:lineRule="auto"/>
        <w:rPr>
          <w:rFonts w:asciiTheme="majorHAnsi" w:hAnsiTheme="majorHAnsi" w:cstheme="majorHAnsi"/>
          <w:color w:val="000000" w:themeColor="text1"/>
        </w:rPr>
      </w:pPr>
      <w:r w:rsidRPr="00C13C97">
        <w:rPr>
          <w:rFonts w:asciiTheme="majorHAnsi" w:hAnsiTheme="majorHAnsi" w:cstheme="majorHAnsi"/>
          <w:color w:val="000000" w:themeColor="text1"/>
        </w:rPr>
        <w:t>Last reviewed</w:t>
      </w:r>
      <w:r w:rsidR="00C13C97" w:rsidRPr="00C13C97">
        <w:rPr>
          <w:rFonts w:asciiTheme="majorHAnsi" w:hAnsiTheme="majorHAnsi" w:cstheme="majorHAnsi"/>
          <w:color w:val="000000" w:themeColor="text1"/>
        </w:rPr>
        <w:t xml:space="preserve"> &amp; Update</w:t>
      </w:r>
      <w:r w:rsidRPr="00C13C97">
        <w:rPr>
          <w:rFonts w:asciiTheme="majorHAnsi" w:hAnsiTheme="majorHAnsi" w:cstheme="majorHAnsi"/>
          <w:color w:val="000000" w:themeColor="text1"/>
        </w:rPr>
        <w:t xml:space="preserve">: </w:t>
      </w:r>
      <w:r w:rsidR="00C13C97" w:rsidRPr="00C13C97">
        <w:rPr>
          <w:rFonts w:asciiTheme="majorHAnsi" w:hAnsiTheme="majorHAnsi" w:cstheme="majorHAnsi"/>
          <w:color w:val="000000" w:themeColor="text1"/>
        </w:rPr>
        <w:t>26</w:t>
      </w:r>
      <w:r w:rsidR="00C13C97" w:rsidRPr="00C13C97">
        <w:rPr>
          <w:rFonts w:asciiTheme="majorHAnsi" w:hAnsiTheme="majorHAnsi" w:cstheme="majorHAnsi"/>
          <w:color w:val="000000" w:themeColor="text1"/>
          <w:vertAlign w:val="superscript"/>
        </w:rPr>
        <w:t>th</w:t>
      </w:r>
      <w:r w:rsidR="00C13C97" w:rsidRPr="00C13C97">
        <w:rPr>
          <w:rFonts w:asciiTheme="majorHAnsi" w:hAnsiTheme="majorHAnsi" w:cstheme="majorHAnsi"/>
          <w:color w:val="000000" w:themeColor="text1"/>
        </w:rPr>
        <w:t xml:space="preserve"> </w:t>
      </w:r>
      <w:r w:rsidR="00FE088E" w:rsidRPr="00C13C97">
        <w:rPr>
          <w:rFonts w:asciiTheme="majorHAnsi" w:hAnsiTheme="majorHAnsi" w:cstheme="majorHAnsi"/>
          <w:color w:val="000000" w:themeColor="text1"/>
        </w:rPr>
        <w:t xml:space="preserve">Dec </w:t>
      </w:r>
      <w:r w:rsidRPr="00C13C97">
        <w:rPr>
          <w:rFonts w:asciiTheme="majorHAnsi" w:hAnsiTheme="majorHAnsi" w:cstheme="majorHAnsi"/>
          <w:color w:val="000000" w:themeColor="text1"/>
        </w:rPr>
        <w:t>2025</w:t>
      </w:r>
    </w:p>
    <w:p w14:paraId="4BC17867" w14:textId="1D4DCA27" w:rsidR="00C13C97" w:rsidRPr="00C13C97" w:rsidRDefault="00C13C97" w:rsidP="00C13C97">
      <w:pPr>
        <w:spacing w:after="0" w:line="360" w:lineRule="auto"/>
        <w:rPr>
          <w:rFonts w:asciiTheme="majorHAnsi" w:hAnsiTheme="majorHAnsi" w:cstheme="majorHAnsi"/>
          <w:color w:val="000000" w:themeColor="text1"/>
        </w:rPr>
      </w:pPr>
      <w:r w:rsidRPr="00C13C97">
        <w:rPr>
          <w:rFonts w:asciiTheme="majorHAnsi" w:hAnsiTheme="majorHAnsi" w:cstheme="majorHAnsi"/>
          <w:lang w:val="en-GB"/>
        </w:rPr>
        <w:t>Next Review Due: 14 June 2026</w:t>
      </w:r>
      <w:r w:rsidR="00F4089A" w:rsidRPr="00C13C97">
        <w:rPr>
          <w:rFonts w:asciiTheme="majorHAnsi" w:hAnsiTheme="majorHAnsi" w:cstheme="majorHAnsi"/>
          <w:color w:val="000000" w:themeColor="text1"/>
        </w:rPr>
        <w:br/>
        <w:t xml:space="preserve">Intersectionality Women’s </w:t>
      </w:r>
      <w:proofErr w:type="spellStart"/>
      <w:r w:rsidR="00F4089A" w:rsidRPr="00C13C97">
        <w:rPr>
          <w:rFonts w:asciiTheme="majorHAnsi" w:hAnsiTheme="majorHAnsi" w:cstheme="majorHAnsi"/>
          <w:color w:val="000000" w:themeColor="text1"/>
        </w:rPr>
        <w:t>Programmes</w:t>
      </w:r>
      <w:proofErr w:type="spellEnd"/>
      <w:r w:rsidR="00F4089A" w:rsidRPr="00C13C97">
        <w:rPr>
          <w:rFonts w:asciiTheme="majorHAnsi" w:hAnsiTheme="majorHAnsi" w:cstheme="majorHAnsi"/>
          <w:color w:val="000000" w:themeColor="text1"/>
        </w:rPr>
        <w:t xml:space="preserve"> CIC</w:t>
      </w:r>
      <w:r w:rsidR="00F4089A" w:rsidRPr="00C13C97">
        <w:rPr>
          <w:rFonts w:asciiTheme="majorHAnsi" w:hAnsiTheme="majorHAnsi" w:cstheme="majorHAnsi"/>
          <w:color w:val="000000" w:themeColor="text1"/>
        </w:rPr>
        <w:br/>
        <w:t>Company number: 14942760</w:t>
      </w:r>
    </w:p>
    <w:p w14:paraId="3E74CAAE" w14:textId="77777777" w:rsidR="00C13C97" w:rsidRDefault="00C13C97" w:rsidP="00C13C97">
      <w:pPr>
        <w:rPr>
          <w:rFonts w:asciiTheme="majorHAnsi" w:hAnsiTheme="majorHAnsi" w:cstheme="majorHAnsi"/>
          <w:lang w:val="en-GB"/>
        </w:rPr>
      </w:pPr>
    </w:p>
    <w:p w14:paraId="4A771235" w14:textId="171FEA86" w:rsidR="002C420F" w:rsidRDefault="00C13C97" w:rsidP="00C13C97">
      <w:r w:rsidRPr="00C13C97">
        <w:rPr>
          <w:rFonts w:asciiTheme="majorHAnsi" w:hAnsiTheme="majorHAnsi" w:cstheme="majorHAnsi"/>
          <w:lang w:val="en-GB"/>
        </w:rPr>
        <w:t>Approved by:</w:t>
      </w:r>
      <w:r w:rsidRPr="00C13C97">
        <w:rPr>
          <w:rFonts w:asciiTheme="majorHAnsi" w:hAnsiTheme="majorHAnsi" w:cstheme="majorHAnsi"/>
          <w:lang w:val="en-GB"/>
        </w:rPr>
        <w:br/>
        <w:t>Melanie Hibbert - Founder / Director, Intersectionality Women’s Programmes CIC (IWP CIC)</w:t>
      </w:r>
      <w:r w:rsidRPr="00C13C97">
        <w:rPr>
          <w:lang w:val="en-GB"/>
        </w:rPr>
        <w:br/>
      </w:r>
      <w:r w:rsidR="00F4089A">
        <w:br/>
      </w:r>
    </w:p>
    <w:sectPr w:rsidR="002C420F" w:rsidSect="0003461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4D574" w14:textId="77777777" w:rsidR="00C13C97" w:rsidRDefault="00C13C97" w:rsidP="00C13C97">
      <w:pPr>
        <w:spacing w:after="0" w:line="240" w:lineRule="auto"/>
      </w:pPr>
      <w:r>
        <w:separator/>
      </w:r>
    </w:p>
  </w:endnote>
  <w:endnote w:type="continuationSeparator" w:id="0">
    <w:p w14:paraId="4B1E6FD2" w14:textId="77777777" w:rsidR="00C13C97" w:rsidRDefault="00C13C97" w:rsidP="00C1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87472234"/>
      <w:docPartObj>
        <w:docPartGallery w:val="Page Numbers (Bottom of Page)"/>
        <w:docPartUnique/>
      </w:docPartObj>
    </w:sdtPr>
    <w:sdtContent>
      <w:p w14:paraId="27509CD7" w14:textId="6F7E8ABD" w:rsidR="00C13C97" w:rsidRDefault="00C13C97" w:rsidP="00C807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A5BD01" w14:textId="77777777" w:rsidR="00C13C97" w:rsidRDefault="00C13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0778102"/>
      <w:docPartObj>
        <w:docPartGallery w:val="Page Numbers (Bottom of Page)"/>
        <w:docPartUnique/>
      </w:docPartObj>
    </w:sdtPr>
    <w:sdtContent>
      <w:p w14:paraId="241048FD" w14:textId="3CBB59CC" w:rsidR="00C13C97" w:rsidRDefault="00C13C97" w:rsidP="00C807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5FF394" w14:textId="77777777" w:rsidR="00C13C97" w:rsidRDefault="00C13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5CC8E" w14:textId="77777777" w:rsidR="00C13C97" w:rsidRDefault="00C13C97" w:rsidP="00C13C97">
      <w:pPr>
        <w:spacing w:after="0" w:line="240" w:lineRule="auto"/>
      </w:pPr>
      <w:r>
        <w:separator/>
      </w:r>
    </w:p>
  </w:footnote>
  <w:footnote w:type="continuationSeparator" w:id="0">
    <w:p w14:paraId="0F565825" w14:textId="77777777" w:rsidR="00C13C97" w:rsidRDefault="00C13C97" w:rsidP="00C13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40585034">
    <w:abstractNumId w:val="8"/>
  </w:num>
  <w:num w:numId="2" w16cid:durableId="2072265864">
    <w:abstractNumId w:val="6"/>
  </w:num>
  <w:num w:numId="3" w16cid:durableId="215045903">
    <w:abstractNumId w:val="5"/>
  </w:num>
  <w:num w:numId="4" w16cid:durableId="346520773">
    <w:abstractNumId w:val="4"/>
  </w:num>
  <w:num w:numId="5" w16cid:durableId="1485312814">
    <w:abstractNumId w:val="7"/>
  </w:num>
  <w:num w:numId="6" w16cid:durableId="1003556360">
    <w:abstractNumId w:val="3"/>
  </w:num>
  <w:num w:numId="7" w16cid:durableId="2097238891">
    <w:abstractNumId w:val="2"/>
  </w:num>
  <w:num w:numId="8" w16cid:durableId="1442526301">
    <w:abstractNumId w:val="1"/>
  </w:num>
  <w:num w:numId="9" w16cid:durableId="188351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C420F"/>
    <w:rsid w:val="00326F90"/>
    <w:rsid w:val="004D7FB8"/>
    <w:rsid w:val="00AA1D8D"/>
    <w:rsid w:val="00B47730"/>
    <w:rsid w:val="00C13C97"/>
    <w:rsid w:val="00CB0664"/>
    <w:rsid w:val="00F4089A"/>
    <w:rsid w:val="00FC693F"/>
    <w:rsid w:val="00FE0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D8E3D2"/>
  <w14:defaultImageDpi w14:val="300"/>
  <w15:docId w15:val="{58331080-B032-6A41-95A1-1EDB91A9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C13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085922">
      <w:bodyDiv w:val="1"/>
      <w:marLeft w:val="0"/>
      <w:marRight w:val="0"/>
      <w:marTop w:val="0"/>
      <w:marBottom w:val="0"/>
      <w:divBdr>
        <w:top w:val="none" w:sz="0" w:space="0" w:color="auto"/>
        <w:left w:val="none" w:sz="0" w:space="0" w:color="auto"/>
        <w:bottom w:val="none" w:sz="0" w:space="0" w:color="auto"/>
        <w:right w:val="none" w:sz="0" w:space="0" w:color="auto"/>
      </w:divBdr>
    </w:div>
    <w:div w:id="7934031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Melanie</cp:lastModifiedBy>
  <cp:revision>2</cp:revision>
  <dcterms:created xsi:type="dcterms:W3CDTF">2025-12-26T21:24:00Z</dcterms:created>
  <dcterms:modified xsi:type="dcterms:W3CDTF">2025-12-26T21:24:00Z</dcterms:modified>
  <cp:category/>
</cp:coreProperties>
</file>