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C85ED" w14:textId="77777777" w:rsidR="005044B5" w:rsidRDefault="005044B5">
      <w:pPr>
        <w:pStyle w:val="Heading1"/>
        <w:rPr>
          <w:color w:val="000000" w:themeColor="text1"/>
        </w:rPr>
      </w:pPr>
    </w:p>
    <w:p w14:paraId="59964553" w14:textId="0CFE3578" w:rsidR="005044B5" w:rsidRDefault="00466008" w:rsidP="00466008">
      <w:pPr>
        <w:pStyle w:val="Heading1"/>
        <w:jc w:val="center"/>
        <w:rPr>
          <w:color w:val="000000" w:themeColor="text1"/>
        </w:rPr>
      </w:pPr>
      <w:r>
        <w:rPr>
          <w:rFonts w:ascii="Calibri" w:hAnsi="Calibri" w:cs="Calibri"/>
          <w:noProof/>
          <w:color w:val="000000"/>
          <w:bdr w:val="none" w:sz="0" w:space="0" w:color="auto" w:frame="1"/>
        </w:rPr>
        <w:drawing>
          <wp:inline distT="0" distB="0" distL="0" distR="0" wp14:anchorId="1E505BE0" wp14:editId="2511BF89">
            <wp:extent cx="1612900" cy="1651000"/>
            <wp:effectExtent l="0" t="0" r="0" b="0"/>
            <wp:docPr id="602275481" name="Picture 1" descr="A butterfly with a graduation c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75481" name="Picture 1" descr="A butterfly with a graduation cap&#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22522" t="18386" r="20270" b="23318"/>
                    <a:stretch/>
                  </pic:blipFill>
                  <pic:spPr bwMode="auto">
                    <a:xfrm>
                      <a:off x="0" y="0"/>
                      <a:ext cx="1612900" cy="1651000"/>
                    </a:xfrm>
                    <a:prstGeom prst="rect">
                      <a:avLst/>
                    </a:prstGeom>
                    <a:noFill/>
                    <a:ln>
                      <a:noFill/>
                    </a:ln>
                    <a:extLst>
                      <a:ext uri="{53640926-AAD7-44D8-BBD7-CCE9431645EC}">
                        <a14:shadowObscured xmlns:a14="http://schemas.microsoft.com/office/drawing/2010/main"/>
                      </a:ext>
                    </a:extLst>
                  </pic:spPr>
                </pic:pic>
              </a:graphicData>
            </a:graphic>
          </wp:inline>
        </w:drawing>
      </w:r>
    </w:p>
    <w:p w14:paraId="56D274B8" w14:textId="664AAB30" w:rsidR="00950B1D" w:rsidRPr="00466008" w:rsidRDefault="00466008" w:rsidP="00466008">
      <w:pPr>
        <w:pStyle w:val="Heading1"/>
        <w:jc w:val="center"/>
        <w:rPr>
          <w:rFonts w:cstheme="majorHAnsi"/>
          <w:color w:val="000000" w:themeColor="text1"/>
          <w:sz w:val="24"/>
          <w:szCs w:val="24"/>
        </w:rPr>
      </w:pPr>
      <w:r w:rsidRPr="00466008">
        <w:rPr>
          <w:rFonts w:cstheme="majorHAnsi"/>
          <w:color w:val="000000" w:themeColor="text1"/>
          <w:sz w:val="24"/>
          <w:szCs w:val="24"/>
        </w:rPr>
        <w:t>Terms &amp; Conditions</w:t>
      </w:r>
      <w:r w:rsidRPr="00466008">
        <w:rPr>
          <w:rFonts w:cstheme="majorHAnsi"/>
          <w:color w:val="000000" w:themeColor="text1"/>
          <w:sz w:val="24"/>
          <w:szCs w:val="24"/>
        </w:rPr>
        <w:br/>
        <w:t>Intersectionality Women’s Programmes CIC (IWP)</w:t>
      </w:r>
    </w:p>
    <w:p w14:paraId="19BBDF09" w14:textId="26BFEF36" w:rsidR="005044B5" w:rsidRPr="005044B5" w:rsidRDefault="005044B5" w:rsidP="005044B5">
      <w:pPr>
        <w:rPr>
          <w:rFonts w:asciiTheme="majorHAnsi" w:hAnsiTheme="majorHAnsi" w:cstheme="majorHAnsi"/>
          <w:sz w:val="24"/>
          <w:szCs w:val="24"/>
          <w:lang w:val="en-GB"/>
        </w:rPr>
      </w:pPr>
      <w:r w:rsidRPr="005044B5">
        <w:rPr>
          <w:rFonts w:asciiTheme="majorHAnsi" w:hAnsiTheme="majorHAnsi" w:cstheme="majorHAnsi"/>
          <w:sz w:val="24"/>
          <w:szCs w:val="24"/>
          <w:lang w:val="en-GB"/>
        </w:rPr>
        <w:br/>
        <w:t xml:space="preserve">Last Review &amp; Update: </w:t>
      </w:r>
      <w:r w:rsidRPr="00466008">
        <w:rPr>
          <w:rFonts w:asciiTheme="majorHAnsi" w:hAnsiTheme="majorHAnsi" w:cstheme="majorHAnsi"/>
          <w:sz w:val="24"/>
          <w:szCs w:val="24"/>
          <w:lang w:val="en-GB"/>
        </w:rPr>
        <w:t>26</w:t>
      </w:r>
      <w:r w:rsidRPr="005044B5">
        <w:rPr>
          <w:rFonts w:asciiTheme="majorHAnsi" w:hAnsiTheme="majorHAnsi" w:cstheme="majorHAnsi"/>
          <w:sz w:val="24"/>
          <w:szCs w:val="24"/>
          <w:lang w:val="en-GB"/>
        </w:rPr>
        <w:t xml:space="preserve"> December 2025</w:t>
      </w:r>
      <w:r w:rsidRPr="005044B5">
        <w:rPr>
          <w:rFonts w:asciiTheme="majorHAnsi" w:hAnsiTheme="majorHAnsi" w:cstheme="majorHAnsi"/>
          <w:sz w:val="24"/>
          <w:szCs w:val="24"/>
          <w:lang w:val="en-GB"/>
        </w:rPr>
        <w:br/>
        <w:t>Next Review Due: 14 J</w:t>
      </w:r>
      <w:r w:rsidR="00466008">
        <w:rPr>
          <w:rFonts w:asciiTheme="majorHAnsi" w:hAnsiTheme="majorHAnsi" w:cstheme="majorHAnsi"/>
          <w:sz w:val="24"/>
          <w:szCs w:val="24"/>
          <w:lang w:val="en-GB"/>
        </w:rPr>
        <w:t>uly</w:t>
      </w:r>
      <w:r w:rsidRPr="005044B5">
        <w:rPr>
          <w:rFonts w:asciiTheme="majorHAnsi" w:hAnsiTheme="majorHAnsi" w:cstheme="majorHAnsi"/>
          <w:sz w:val="24"/>
          <w:szCs w:val="24"/>
          <w:lang w:val="en-GB"/>
        </w:rPr>
        <w:t xml:space="preserve"> 2026</w:t>
      </w:r>
    </w:p>
    <w:p w14:paraId="2505940B" w14:textId="57680E8C" w:rsidR="005044B5" w:rsidRPr="00466008" w:rsidRDefault="005044B5" w:rsidP="005044B5">
      <w:pPr>
        <w:rPr>
          <w:rFonts w:asciiTheme="majorHAnsi" w:hAnsiTheme="majorHAnsi" w:cstheme="majorHAnsi"/>
          <w:sz w:val="24"/>
          <w:szCs w:val="24"/>
        </w:rPr>
      </w:pPr>
      <w:r w:rsidRPr="00466008">
        <w:rPr>
          <w:rFonts w:asciiTheme="majorHAnsi" w:hAnsiTheme="majorHAnsi" w:cstheme="majorHAnsi"/>
          <w:sz w:val="24"/>
          <w:szCs w:val="24"/>
          <w:lang w:val="en-GB"/>
        </w:rPr>
        <w:t>Approved by:</w:t>
      </w:r>
      <w:r w:rsidRPr="00466008">
        <w:rPr>
          <w:rFonts w:asciiTheme="majorHAnsi" w:hAnsiTheme="majorHAnsi" w:cstheme="majorHAnsi"/>
          <w:sz w:val="24"/>
          <w:szCs w:val="24"/>
          <w:lang w:val="en-GB"/>
        </w:rPr>
        <w:br/>
        <w:t>Melanie Hibbert - Founder / Director, Intersectionality Women’s Programmes CIC (IWP CIC)</w:t>
      </w:r>
    </w:p>
    <w:p w14:paraId="62D495B3"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br/>
        <w:t xml:space="preserve">These Terms &amp; Conditions govern your use of the Intersectionality Women’s Programmes CIC (“IWP”, “we”, “us”, or “our”) website and your engagement with our programmes, services, </w:t>
      </w:r>
      <w:r w:rsidRPr="00466008">
        <w:rPr>
          <w:rFonts w:asciiTheme="majorHAnsi" w:hAnsiTheme="majorHAnsi" w:cstheme="majorHAnsi"/>
          <w:sz w:val="24"/>
          <w:szCs w:val="24"/>
        </w:rPr>
        <w:t>events, and communications.</w:t>
      </w:r>
    </w:p>
    <w:p w14:paraId="107FF296"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By accessing our website or engaging with our services, you agree to these Terms &amp; Conditions.</w:t>
      </w:r>
    </w:p>
    <w:p w14:paraId="178A0FF4"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About Us</w:t>
      </w:r>
    </w:p>
    <w:p w14:paraId="2692C49B"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 xml:space="preserve">Intersectionality Women’s Programmes CIC  </w:t>
      </w:r>
      <w:r w:rsidRPr="00466008">
        <w:rPr>
          <w:rFonts w:asciiTheme="majorHAnsi" w:hAnsiTheme="majorHAnsi" w:cstheme="majorHAnsi"/>
          <w:sz w:val="24"/>
          <w:szCs w:val="24"/>
        </w:rPr>
        <w:br/>
        <w:t xml:space="preserve">Company number: 14942760  </w:t>
      </w:r>
      <w:r w:rsidRPr="00466008">
        <w:rPr>
          <w:rFonts w:asciiTheme="majorHAnsi" w:hAnsiTheme="majorHAnsi" w:cstheme="majorHAnsi"/>
          <w:sz w:val="24"/>
          <w:szCs w:val="24"/>
        </w:rPr>
        <w:br/>
        <w:t xml:space="preserve">United Kingdom  </w:t>
      </w:r>
      <w:r w:rsidRPr="00466008">
        <w:rPr>
          <w:rFonts w:asciiTheme="majorHAnsi" w:hAnsiTheme="majorHAnsi" w:cstheme="majorHAnsi"/>
          <w:sz w:val="24"/>
          <w:szCs w:val="24"/>
        </w:rPr>
        <w:br/>
        <w:t>Email: info@intersectionalitywomensprogrammes.com</w:t>
      </w:r>
    </w:p>
    <w:p w14:paraId="678D344A"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Use of Website</w:t>
      </w:r>
    </w:p>
    <w:p w14:paraId="2F1BEDC0"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lastRenderedPageBreak/>
        <w:t>Our website is provided for information about our work, programmes, and services. You agree to use the website lawfully and not in a way that infringes the rights of others or restricts their use and enjoyment.</w:t>
      </w:r>
    </w:p>
    <w:p w14:paraId="5D7CA3AF"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We may update or change website content at any time without notice.</w:t>
      </w:r>
    </w:p>
    <w:p w14:paraId="11A04E9D"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Programme Participation</w:t>
      </w:r>
    </w:p>
    <w:p w14:paraId="4DF48EF0"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Participation in IWP programmes, workshops, or services is subject to eligibility criteria, availability, and appropriate conduct.</w:t>
      </w:r>
    </w:p>
    <w:p w14:paraId="3A1C65FA"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We reserve the right to:</w:t>
      </w:r>
      <w:r w:rsidRPr="00466008">
        <w:rPr>
          <w:rFonts w:asciiTheme="majorHAnsi" w:hAnsiTheme="majorHAnsi" w:cstheme="majorHAnsi"/>
          <w:sz w:val="24"/>
          <w:szCs w:val="24"/>
        </w:rPr>
        <w:br/>
        <w:t>• Manage enrolment and attendance</w:t>
      </w:r>
      <w:r w:rsidRPr="00466008">
        <w:rPr>
          <w:rFonts w:asciiTheme="majorHAnsi" w:hAnsiTheme="majorHAnsi" w:cstheme="majorHAnsi"/>
          <w:sz w:val="24"/>
          <w:szCs w:val="24"/>
        </w:rPr>
        <w:br/>
        <w:t>• Set reasonable boundaries to maintain safe learning environments</w:t>
      </w:r>
      <w:r w:rsidRPr="00466008">
        <w:rPr>
          <w:rFonts w:asciiTheme="majorHAnsi" w:hAnsiTheme="majorHAnsi" w:cstheme="majorHAnsi"/>
          <w:sz w:val="24"/>
          <w:szCs w:val="24"/>
        </w:rPr>
        <w:br/>
        <w:t>• Suspend or withdraw participation where behaviour poses a risk to others or breaches safeguarding standards</w:t>
      </w:r>
    </w:p>
    <w:p w14:paraId="6E810B06"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We aim to take a trauma-informed, proportionate, and supportive approach in all circumstances.</w:t>
      </w:r>
    </w:p>
    <w:p w14:paraId="6790D1E6"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Safeguarding</w:t>
      </w:r>
    </w:p>
    <w:p w14:paraId="39D153F9"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Safeguarding is central to our work. All participants are expected to engage respectfully and in line with safeguarding expectations.</w:t>
      </w:r>
    </w:p>
    <w:p w14:paraId="2E8F551E"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We may share information where required to meet safeguarding duties or legal obligations.</w:t>
      </w:r>
    </w:p>
    <w:p w14:paraId="4BC13BAF"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Intellectual Property</w:t>
      </w:r>
    </w:p>
    <w:p w14:paraId="4F1B95F8"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All content on this website and materials provided through our programmes, including text, images, frameworks, learning models, and resources, are the intellectual property of Intersectionality Women’s Programmes CIC unless otherwise stated.</w:t>
      </w:r>
    </w:p>
    <w:p w14:paraId="70552C6C"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Unauthorised reproduction, distribution, or use of materials without prior written consent is prohibited.</w:t>
      </w:r>
    </w:p>
    <w:p w14:paraId="0E962991"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Trademark registration applications for relevant names and materials are pending.</w:t>
      </w:r>
    </w:p>
    <w:p w14:paraId="31C55C98"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Data Protection and Privacy</w:t>
      </w:r>
    </w:p>
    <w:p w14:paraId="7B7E008B"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We handle personal data in accordance with UK GDPR and the Data Protection Act 2018. Please refer to our Privacy Policy for full details on how we collect, use, and protect personal data.</w:t>
      </w:r>
    </w:p>
    <w:p w14:paraId="2BE7BFB8"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lastRenderedPageBreak/>
        <w:t>Accessibility and Inclusion</w:t>
      </w:r>
    </w:p>
    <w:p w14:paraId="74B2CCFC"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We are committed to accessibility, inclusion, and reasonable adjustments. Please refer to our Accessibility Statement and Inclusion &amp; Equity Policy for further information.</w:t>
      </w:r>
    </w:p>
    <w:p w14:paraId="0A6EC2E8"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Limitation of Liability</w:t>
      </w:r>
    </w:p>
    <w:p w14:paraId="5637EC36"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We take reasonable care to ensure that information on our website is accurate. However, we do not guarantee that content is error-free or up to date.</w:t>
      </w:r>
    </w:p>
    <w:p w14:paraId="3A6DBAB8"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To the extent permitted by law, Intersectionality Women’s Programmes CIC will not be liable for any loss or damage arising from use of the website or participation in programmes, except where liability cannot be excluded by law.</w:t>
      </w:r>
    </w:p>
    <w:p w14:paraId="1EA0FC4A"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Links to Other Websites</w:t>
      </w:r>
    </w:p>
    <w:p w14:paraId="20FB5563"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Our website may include links to third-party websites for information. We are not responsible for the content or privacy practices of external sites.</w:t>
      </w:r>
    </w:p>
    <w:p w14:paraId="65077AC6"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Changes to These Terms</w:t>
      </w:r>
    </w:p>
    <w:p w14:paraId="6AFDE687"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 xml:space="preserve">We may update these Terms &amp; Conditions from time to </w:t>
      </w:r>
      <w:r w:rsidRPr="00466008">
        <w:rPr>
          <w:rFonts w:asciiTheme="majorHAnsi" w:hAnsiTheme="majorHAnsi" w:cstheme="majorHAnsi"/>
          <w:sz w:val="24"/>
          <w:szCs w:val="24"/>
        </w:rPr>
        <w:t>time. Continued use of our website or services indicates acceptance of the updated terms.</w:t>
      </w:r>
    </w:p>
    <w:p w14:paraId="2981B8C3"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Governing Law</w:t>
      </w:r>
    </w:p>
    <w:p w14:paraId="7099E415"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These Terms &amp; Conditions are governed by the laws of England and Wales.</w:t>
      </w:r>
    </w:p>
    <w:p w14:paraId="5ACFF243"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Contact Us</w:t>
      </w:r>
    </w:p>
    <w:p w14:paraId="768DDF1C"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If you have questions about these Terms &amp; Conditions, please contact:</w:t>
      </w:r>
    </w:p>
    <w:p w14:paraId="3BB52F28" w14:textId="77777777" w:rsidR="00950B1D" w:rsidRPr="00466008" w:rsidRDefault="00466008">
      <w:pPr>
        <w:rPr>
          <w:rFonts w:asciiTheme="majorHAnsi" w:hAnsiTheme="majorHAnsi" w:cstheme="majorHAnsi"/>
          <w:sz w:val="24"/>
          <w:szCs w:val="24"/>
        </w:rPr>
      </w:pPr>
      <w:r w:rsidRPr="00466008">
        <w:rPr>
          <w:rFonts w:asciiTheme="majorHAnsi" w:hAnsiTheme="majorHAnsi" w:cstheme="majorHAnsi"/>
          <w:sz w:val="24"/>
          <w:szCs w:val="24"/>
        </w:rPr>
        <w:t>Email: info@intersectionalitywomensprogrammes.com</w:t>
      </w:r>
    </w:p>
    <w:p w14:paraId="30DEE048" w14:textId="76CD4CDF" w:rsidR="00950B1D" w:rsidRDefault="00466008">
      <w:r>
        <w:br/>
      </w:r>
    </w:p>
    <w:sectPr w:rsidR="00950B1D" w:rsidSect="00034616">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3BE8F" w14:textId="77777777" w:rsidR="00466008" w:rsidRDefault="00466008" w:rsidP="00466008">
      <w:pPr>
        <w:spacing w:after="0" w:line="240" w:lineRule="auto"/>
      </w:pPr>
      <w:r>
        <w:separator/>
      </w:r>
    </w:p>
  </w:endnote>
  <w:endnote w:type="continuationSeparator" w:id="0">
    <w:p w14:paraId="1F9F8E47" w14:textId="77777777" w:rsidR="00466008" w:rsidRDefault="00466008" w:rsidP="00466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51189353"/>
      <w:docPartObj>
        <w:docPartGallery w:val="Page Numbers (Bottom of Page)"/>
        <w:docPartUnique/>
      </w:docPartObj>
    </w:sdtPr>
    <w:sdtContent>
      <w:p w14:paraId="5F54CAED" w14:textId="52E35036" w:rsidR="00466008" w:rsidRDefault="00466008" w:rsidP="00C807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2E1128" w14:textId="77777777" w:rsidR="00466008" w:rsidRDefault="00466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12621956"/>
      <w:docPartObj>
        <w:docPartGallery w:val="Page Numbers (Bottom of Page)"/>
        <w:docPartUnique/>
      </w:docPartObj>
    </w:sdtPr>
    <w:sdtContent>
      <w:p w14:paraId="606D0BDD" w14:textId="7992B7DF" w:rsidR="00466008" w:rsidRDefault="00466008" w:rsidP="00C807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BFFD82" w14:textId="77777777" w:rsidR="00466008" w:rsidRDefault="00466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48D3D" w14:textId="77777777" w:rsidR="00466008" w:rsidRDefault="00466008" w:rsidP="00466008">
      <w:pPr>
        <w:spacing w:after="0" w:line="240" w:lineRule="auto"/>
      </w:pPr>
      <w:r>
        <w:separator/>
      </w:r>
    </w:p>
  </w:footnote>
  <w:footnote w:type="continuationSeparator" w:id="0">
    <w:p w14:paraId="2C83E133" w14:textId="77777777" w:rsidR="00466008" w:rsidRDefault="00466008" w:rsidP="00466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86062816">
    <w:abstractNumId w:val="8"/>
  </w:num>
  <w:num w:numId="2" w16cid:durableId="1085766892">
    <w:abstractNumId w:val="6"/>
  </w:num>
  <w:num w:numId="3" w16cid:durableId="2113433518">
    <w:abstractNumId w:val="5"/>
  </w:num>
  <w:num w:numId="4" w16cid:durableId="135611480">
    <w:abstractNumId w:val="4"/>
  </w:num>
  <w:num w:numId="5" w16cid:durableId="336536897">
    <w:abstractNumId w:val="7"/>
  </w:num>
  <w:num w:numId="6" w16cid:durableId="1432164966">
    <w:abstractNumId w:val="3"/>
  </w:num>
  <w:num w:numId="7" w16cid:durableId="1124811333">
    <w:abstractNumId w:val="2"/>
  </w:num>
  <w:num w:numId="8" w16cid:durableId="268203903">
    <w:abstractNumId w:val="1"/>
  </w:num>
  <w:num w:numId="9" w16cid:durableId="116141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66008"/>
    <w:rsid w:val="004D7FB8"/>
    <w:rsid w:val="005044B5"/>
    <w:rsid w:val="00950B1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98AE85"/>
  <w14:defaultImageDpi w14:val="300"/>
  <w15:docId w15:val="{58331080-B032-6A41-95A1-1EDB91A9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466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562898">
      <w:bodyDiv w:val="1"/>
      <w:marLeft w:val="0"/>
      <w:marRight w:val="0"/>
      <w:marTop w:val="0"/>
      <w:marBottom w:val="0"/>
      <w:divBdr>
        <w:top w:val="none" w:sz="0" w:space="0" w:color="auto"/>
        <w:left w:val="none" w:sz="0" w:space="0" w:color="auto"/>
        <w:bottom w:val="none" w:sz="0" w:space="0" w:color="auto"/>
        <w:right w:val="none" w:sz="0" w:space="0" w:color="auto"/>
      </w:divBdr>
    </w:div>
    <w:div w:id="1032456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Melanie</cp:lastModifiedBy>
  <cp:revision>2</cp:revision>
  <dcterms:created xsi:type="dcterms:W3CDTF">2025-12-26T22:17:00Z</dcterms:created>
  <dcterms:modified xsi:type="dcterms:W3CDTF">2025-12-26T22:17:00Z</dcterms:modified>
  <cp:category/>
</cp:coreProperties>
</file>